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AE02" w14:textId="77777777" w:rsidR="00094852" w:rsidRDefault="00094852" w:rsidP="00F92E5D">
      <w:pPr>
        <w:rPr>
          <w:sz w:val="20"/>
          <w:szCs w:val="20"/>
        </w:rPr>
      </w:pPr>
      <w:r w:rsidRPr="00094852">
        <w:rPr>
          <w:sz w:val="20"/>
          <w:szCs w:val="20"/>
        </w:rPr>
        <w:t>ALLEGATO C</w:t>
      </w:r>
    </w:p>
    <w:p w14:paraId="0A1DA197" w14:textId="2F5F68B1" w:rsidR="00F92E5D" w:rsidRDefault="00094852" w:rsidP="00F92E5D">
      <w:pPr>
        <w:rPr>
          <w:sz w:val="20"/>
          <w:szCs w:val="20"/>
        </w:rPr>
      </w:pPr>
      <w:r w:rsidRPr="00094852">
        <w:rPr>
          <w:sz w:val="20"/>
          <w:szCs w:val="20"/>
        </w:rPr>
        <w:t>- Dichiarazione di cui all’art. 80 del D. Lgs 50/2016 e ss.mm.ii.</w:t>
      </w:r>
    </w:p>
    <w:p w14:paraId="7A401F4C" w14:textId="77777777" w:rsidR="00094852" w:rsidRDefault="00094852" w:rsidP="00F92E5D"/>
    <w:p w14:paraId="2DCCE57D" w14:textId="77777777" w:rsidR="00F92E5D" w:rsidRDefault="00F92E5D" w:rsidP="00F92E5D"/>
    <w:p w14:paraId="288CB8C4" w14:textId="77777777" w:rsidR="00F92E5D" w:rsidRPr="003403B8" w:rsidRDefault="00F92E5D" w:rsidP="00094852">
      <w:pPr>
        <w:ind w:left="5387"/>
        <w:contextualSpacing/>
        <w:rPr>
          <w:sz w:val="22"/>
          <w:szCs w:val="22"/>
        </w:rPr>
      </w:pPr>
      <w:r w:rsidRPr="003403B8">
        <w:rPr>
          <w:sz w:val="22"/>
          <w:szCs w:val="22"/>
        </w:rPr>
        <w:t xml:space="preserve">Spett.le </w:t>
      </w:r>
    </w:p>
    <w:p w14:paraId="3998EE34" w14:textId="77777777" w:rsidR="00F92E5D" w:rsidRPr="003403B8" w:rsidRDefault="00CE1A42" w:rsidP="00094852">
      <w:pPr>
        <w:spacing w:before="120"/>
        <w:ind w:left="5387"/>
        <w:contextualSpacing/>
        <w:rPr>
          <w:sz w:val="22"/>
          <w:szCs w:val="22"/>
        </w:rPr>
      </w:pPr>
      <w:r w:rsidRPr="003403B8">
        <w:rPr>
          <w:smallCaps/>
          <w:sz w:val="22"/>
          <w:szCs w:val="22"/>
        </w:rPr>
        <w:t>Consac</w:t>
      </w:r>
      <w:r w:rsidRPr="003403B8">
        <w:rPr>
          <w:sz w:val="22"/>
          <w:szCs w:val="22"/>
        </w:rPr>
        <w:t xml:space="preserve"> Gestioni Idriche </w:t>
      </w:r>
      <w:r w:rsidR="00B46E02" w:rsidRPr="003403B8">
        <w:rPr>
          <w:sz w:val="22"/>
          <w:szCs w:val="22"/>
        </w:rPr>
        <w:t>Spa</w:t>
      </w:r>
      <w:r w:rsidRPr="003403B8">
        <w:rPr>
          <w:sz w:val="22"/>
          <w:szCs w:val="22"/>
        </w:rPr>
        <w:t xml:space="preserve"> </w:t>
      </w:r>
    </w:p>
    <w:p w14:paraId="3AF700CE" w14:textId="77777777" w:rsidR="00F92E5D" w:rsidRPr="003403B8" w:rsidRDefault="00CE1A42" w:rsidP="00094852">
      <w:pPr>
        <w:spacing w:before="120"/>
        <w:ind w:left="5387"/>
        <w:contextualSpacing/>
        <w:rPr>
          <w:sz w:val="22"/>
          <w:szCs w:val="22"/>
        </w:rPr>
      </w:pPr>
      <w:r w:rsidRPr="003403B8">
        <w:rPr>
          <w:sz w:val="22"/>
          <w:szCs w:val="22"/>
        </w:rPr>
        <w:t xml:space="preserve">Via. O Valiante </w:t>
      </w:r>
    </w:p>
    <w:p w14:paraId="30E6B65A" w14:textId="77777777" w:rsidR="00CE1A42" w:rsidRPr="003403B8" w:rsidRDefault="00CE1A42" w:rsidP="00094852">
      <w:pPr>
        <w:ind w:left="5387"/>
        <w:contextualSpacing/>
        <w:rPr>
          <w:sz w:val="22"/>
          <w:szCs w:val="22"/>
        </w:rPr>
      </w:pPr>
      <w:r w:rsidRPr="003403B8">
        <w:rPr>
          <w:sz w:val="22"/>
          <w:szCs w:val="22"/>
        </w:rPr>
        <w:t>Vallo della Lucania</w:t>
      </w:r>
    </w:p>
    <w:p w14:paraId="1DEE7A88" w14:textId="77777777" w:rsidR="00F92E5D" w:rsidRPr="003403B8" w:rsidRDefault="00F92E5D" w:rsidP="00094852">
      <w:pPr>
        <w:spacing w:before="120"/>
        <w:ind w:left="5387"/>
        <w:contextualSpacing/>
        <w:rPr>
          <w:snapToGrid w:val="0"/>
          <w:sz w:val="22"/>
          <w:szCs w:val="22"/>
        </w:rPr>
      </w:pPr>
      <w:r w:rsidRPr="003403B8">
        <w:rPr>
          <w:sz w:val="22"/>
          <w:szCs w:val="22"/>
        </w:rPr>
        <w:t>P</w:t>
      </w:r>
      <w:r w:rsidR="00776F8A" w:rsidRPr="003403B8">
        <w:rPr>
          <w:sz w:val="22"/>
          <w:szCs w:val="22"/>
        </w:rPr>
        <w:t>EC</w:t>
      </w:r>
      <w:r w:rsidRPr="003403B8">
        <w:rPr>
          <w:sz w:val="22"/>
          <w:szCs w:val="22"/>
        </w:rPr>
        <w:t xml:space="preserve">: </w:t>
      </w:r>
      <w:hyperlink r:id="rId8" w:history="1">
        <w:r w:rsidR="00C33432" w:rsidRPr="003403B8">
          <w:rPr>
            <w:rStyle w:val="Collegamentoipertestuale"/>
            <w:snapToGrid w:val="0"/>
            <w:sz w:val="22"/>
            <w:szCs w:val="22"/>
          </w:rPr>
          <w:t>consacgestioniidriche@arubapec.it</w:t>
        </w:r>
      </w:hyperlink>
    </w:p>
    <w:p w14:paraId="60DF7318" w14:textId="77777777" w:rsidR="002E1639" w:rsidRPr="003403B8" w:rsidRDefault="002E1639" w:rsidP="00F92E5D">
      <w:pPr>
        <w:jc w:val="right"/>
        <w:rPr>
          <w:snapToGrid w:val="0"/>
        </w:rPr>
      </w:pPr>
    </w:p>
    <w:p w14:paraId="774F48B1" w14:textId="77777777" w:rsidR="00C33432" w:rsidRPr="003403B8" w:rsidRDefault="00C33432" w:rsidP="00F92E5D">
      <w:pPr>
        <w:jc w:val="right"/>
        <w:rPr>
          <w:sz w:val="22"/>
          <w:szCs w:val="22"/>
        </w:rPr>
      </w:pPr>
    </w:p>
    <w:p w14:paraId="62C81713" w14:textId="7F64D743" w:rsidR="00AE20F2" w:rsidRPr="003403B8" w:rsidRDefault="00F92E5D" w:rsidP="003403B8">
      <w:pPr>
        <w:tabs>
          <w:tab w:val="left" w:pos="1134"/>
        </w:tabs>
        <w:ind w:left="1134" w:hanging="1275"/>
        <w:jc w:val="both"/>
        <w:rPr>
          <w:rFonts w:eastAsia="MS Mincho"/>
          <w:b/>
          <w:bCs/>
          <w:sz w:val="22"/>
          <w:szCs w:val="22"/>
        </w:rPr>
      </w:pPr>
      <w:r w:rsidRPr="003403B8">
        <w:rPr>
          <w:b/>
          <w:sz w:val="22"/>
          <w:szCs w:val="22"/>
        </w:rPr>
        <w:t>OGGETTO:</w:t>
      </w:r>
      <w:r w:rsidRPr="003403B8">
        <w:rPr>
          <w:rFonts w:eastAsia="MS Mincho"/>
          <w:b/>
          <w:bCs/>
          <w:sz w:val="22"/>
          <w:szCs w:val="22"/>
        </w:rPr>
        <w:t xml:space="preserve"> </w:t>
      </w:r>
      <w:r w:rsidR="00D7028E" w:rsidRPr="003403B8">
        <w:rPr>
          <w:rFonts w:eastAsia="MS Mincho"/>
          <w:b/>
          <w:bCs/>
          <w:sz w:val="22"/>
          <w:szCs w:val="22"/>
        </w:rPr>
        <w:tab/>
      </w:r>
      <w:r w:rsidR="00452EBA" w:rsidRPr="003403B8">
        <w:rPr>
          <w:rFonts w:eastAsia="MS Mincho"/>
          <w:b/>
          <w:bCs/>
          <w:sz w:val="22"/>
          <w:szCs w:val="22"/>
        </w:rPr>
        <w:t>MANIFESTAZIONE DI INTERESSE PER L’INDIVIDUAZIONE DI OPERATORI ECONOMICI DA INVITARE AD UNA PROCEDURA NEGOZIATA PER L’AFFIDAMENTO DELLA FORNITURA E TRASPORTO DI TUBAZIONI IN PE 100 – IMPORTO A BASE D’ASTA € 127.450,00, OLTRE IVA, DI CUI € 126.850,00 PER FORNITURA E TRASPORTO TUBAZIONI SOGGETTI A RIBASSO ED € 600.00 PER COSTI DI SICUREZZA NON SOGGETTI A RIBASSO.</w:t>
      </w:r>
    </w:p>
    <w:p w14:paraId="312A21D3" w14:textId="77777777" w:rsidR="00AE20F2" w:rsidRPr="00AE20F2" w:rsidRDefault="00AE20F2" w:rsidP="00AE20F2">
      <w:pPr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3868AC5" w14:textId="38606109" w:rsidR="00472C96" w:rsidRPr="00AE20F2" w:rsidRDefault="00B46E02" w:rsidP="00AE20F2">
      <w:pPr>
        <w:ind w:left="993" w:hanging="1134"/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E20F2">
        <w:rPr>
          <w:rFonts w:asciiTheme="minorHAnsi" w:eastAsia="MS Mincho" w:hAnsiTheme="minorHAnsi" w:cstheme="minorHAnsi"/>
          <w:b/>
          <w:bCs/>
          <w:sz w:val="22"/>
          <w:szCs w:val="22"/>
        </w:rPr>
        <w:tab/>
      </w:r>
    </w:p>
    <w:p w14:paraId="37A49A80" w14:textId="1B8672A6" w:rsidR="00F92E5D" w:rsidRPr="00AE20F2" w:rsidRDefault="00F92E5D" w:rsidP="00852B9E">
      <w:pPr>
        <w:tabs>
          <w:tab w:val="left" w:pos="1418"/>
        </w:tabs>
        <w:ind w:left="1418" w:hanging="1418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3A56DD92" w14:textId="023DD60C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Il sottoscritto …………………………………………………………………………………………….</w:t>
      </w:r>
    </w:p>
    <w:p w14:paraId="317F02D5" w14:textId="0D0B58BB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nato il ……………………… </w:t>
      </w:r>
      <w:r w:rsidR="003403B8">
        <w:rPr>
          <w:sz w:val="22"/>
          <w:szCs w:val="22"/>
        </w:rPr>
        <w:t>in</w:t>
      </w:r>
      <w:r w:rsidRPr="00094852">
        <w:rPr>
          <w:sz w:val="22"/>
          <w:szCs w:val="22"/>
        </w:rPr>
        <w:t xml:space="preserve"> ………………………………………………………</w:t>
      </w:r>
      <w:proofErr w:type="gramStart"/>
      <w:r w:rsidRPr="00094852">
        <w:rPr>
          <w:sz w:val="22"/>
          <w:szCs w:val="22"/>
        </w:rPr>
        <w:t>…….</w:t>
      </w:r>
      <w:proofErr w:type="gramEnd"/>
      <w:r w:rsidRPr="00094852">
        <w:rPr>
          <w:sz w:val="22"/>
          <w:szCs w:val="22"/>
        </w:rPr>
        <w:t>….. (..……)</w:t>
      </w:r>
    </w:p>
    <w:p w14:paraId="709C6238" w14:textId="78B22AC9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in qualità di …………………………………………………………………</w:t>
      </w:r>
      <w:proofErr w:type="gramStart"/>
      <w:r w:rsidRPr="00094852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</w:t>
      </w:r>
      <w:r w:rsidRPr="00094852">
        <w:rPr>
          <w:sz w:val="22"/>
          <w:szCs w:val="22"/>
        </w:rPr>
        <w:t>……………………..</w:t>
      </w:r>
    </w:p>
    <w:p w14:paraId="3A70EB11" w14:textId="3E7ACDB1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dell’impresa ……………………………………………………………</w:t>
      </w:r>
      <w:proofErr w:type="gramStart"/>
      <w:r w:rsidRPr="00094852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</w:t>
      </w:r>
      <w:r w:rsidRPr="00094852">
        <w:rPr>
          <w:sz w:val="22"/>
          <w:szCs w:val="22"/>
        </w:rPr>
        <w:t>………………………….</w:t>
      </w:r>
    </w:p>
    <w:p w14:paraId="18F6B43C" w14:textId="2D815687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con sede in ……………………………… (………) C.A.P. …………………………</w:t>
      </w:r>
      <w:r>
        <w:rPr>
          <w:sz w:val="22"/>
          <w:szCs w:val="22"/>
        </w:rPr>
        <w:t>…</w:t>
      </w:r>
      <w:r w:rsidRPr="00094852">
        <w:rPr>
          <w:sz w:val="22"/>
          <w:szCs w:val="22"/>
        </w:rPr>
        <w:t>……………….</w:t>
      </w:r>
    </w:p>
    <w:p w14:paraId="4D687659" w14:textId="77777777" w:rsidR="003403B8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Via …………………………………………… n. ………</w:t>
      </w:r>
      <w:r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codice fiscale ……………………………….</w:t>
      </w:r>
    </w:p>
    <w:p w14:paraId="4C700742" w14:textId="6E1AA27A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Partita Iva …………………………………………</w:t>
      </w:r>
      <w:r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come:</w:t>
      </w:r>
      <w:r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………………</w:t>
      </w:r>
      <w:proofErr w:type="gramStart"/>
      <w:r w:rsidRPr="00094852">
        <w:rPr>
          <w:sz w:val="22"/>
          <w:szCs w:val="22"/>
        </w:rPr>
        <w:t>……</w:t>
      </w:r>
      <w:r w:rsidR="003403B8">
        <w:rPr>
          <w:sz w:val="22"/>
          <w:szCs w:val="22"/>
        </w:rPr>
        <w:t>.</w:t>
      </w:r>
      <w:proofErr w:type="gramEnd"/>
      <w:r w:rsidR="003403B8">
        <w:rPr>
          <w:sz w:val="22"/>
          <w:szCs w:val="22"/>
        </w:rPr>
        <w:t>.</w:t>
      </w:r>
      <w:r w:rsidRPr="00094852">
        <w:rPr>
          <w:sz w:val="22"/>
          <w:szCs w:val="22"/>
        </w:rPr>
        <w:t>……………………….</w:t>
      </w:r>
    </w:p>
    <w:p w14:paraId="00D35050" w14:textId="77777777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o impresa singola;</w:t>
      </w:r>
    </w:p>
    <w:p w14:paraId="45BCBEAA" w14:textId="77777777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oppure</w:t>
      </w:r>
    </w:p>
    <w:p w14:paraId="024AC585" w14:textId="5F3B3000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o capogruppo di una associazione temporanea o di un consorzio o di un GEIE già costituito fra le</w:t>
      </w:r>
      <w:r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imprese …………………………………………………………</w:t>
      </w:r>
      <w:proofErr w:type="gramStart"/>
      <w:r w:rsidRPr="00094852">
        <w:rPr>
          <w:sz w:val="22"/>
          <w:szCs w:val="22"/>
        </w:rPr>
        <w:t>…….</w:t>
      </w:r>
      <w:proofErr w:type="gramEnd"/>
      <w:r w:rsidRPr="00094852">
        <w:rPr>
          <w:sz w:val="22"/>
          <w:szCs w:val="22"/>
        </w:rPr>
        <w:t>. (oppure da costituirsi fra le</w:t>
      </w:r>
      <w:r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imprese ……………………………………………………</w:t>
      </w:r>
      <w:proofErr w:type="gramStart"/>
      <w:r w:rsidRPr="00094852">
        <w:rPr>
          <w:sz w:val="22"/>
          <w:szCs w:val="22"/>
        </w:rPr>
        <w:t>… )</w:t>
      </w:r>
      <w:proofErr w:type="gramEnd"/>
      <w:r w:rsidRPr="00094852">
        <w:rPr>
          <w:sz w:val="22"/>
          <w:szCs w:val="22"/>
        </w:rPr>
        <w:t>;</w:t>
      </w:r>
    </w:p>
    <w:p w14:paraId="09882648" w14:textId="77777777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oppure</w:t>
      </w:r>
    </w:p>
    <w:p w14:paraId="2B7F9BFD" w14:textId="5F0FBFE5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o mandante una associazione temporanea o di un consorzio o di un GEIE già costituito fra le</w:t>
      </w:r>
      <w:r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imprese ……………………………</w:t>
      </w:r>
      <w:proofErr w:type="gramStart"/>
      <w:r w:rsidRPr="00094852">
        <w:rPr>
          <w:sz w:val="22"/>
          <w:szCs w:val="22"/>
        </w:rPr>
        <w:t>…….</w:t>
      </w:r>
      <w:proofErr w:type="gramEnd"/>
      <w:r w:rsidRPr="00094852">
        <w:rPr>
          <w:sz w:val="22"/>
          <w:szCs w:val="22"/>
        </w:rPr>
        <w:t>.…………………………… (oppure da costituirsi fra le</w:t>
      </w:r>
      <w:r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imprese ………………………………………………………);</w:t>
      </w:r>
    </w:p>
    <w:p w14:paraId="4124218F" w14:textId="44B81272" w:rsidR="00094852" w:rsidRPr="00094852" w:rsidRDefault="00094852" w:rsidP="00094852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A tal fine ai sensi degli articoli 46 e 47 del D.P.R. 28 dicembre 2000 n. 445, consapevole delle</w:t>
      </w:r>
      <w:r w:rsidR="003403B8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sanzioni penali previste dall'articolo 76 del medesimo DPR 445/2000, per le ipotesi di falsità in atti</w:t>
      </w:r>
      <w:r w:rsidR="003403B8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e dichiarazioni mendaci ivi indicate,</w:t>
      </w:r>
    </w:p>
    <w:p w14:paraId="68F5D795" w14:textId="30E9C5A3" w:rsidR="00094852" w:rsidRPr="003403B8" w:rsidRDefault="00094852" w:rsidP="00960005">
      <w:pPr>
        <w:tabs>
          <w:tab w:val="right" w:pos="9638"/>
        </w:tabs>
        <w:spacing w:before="120"/>
        <w:jc w:val="center"/>
        <w:rPr>
          <w:b/>
          <w:bCs/>
          <w:sz w:val="22"/>
          <w:szCs w:val="22"/>
        </w:rPr>
      </w:pPr>
      <w:r w:rsidRPr="003403B8">
        <w:rPr>
          <w:b/>
          <w:bCs/>
          <w:sz w:val="22"/>
          <w:szCs w:val="22"/>
        </w:rPr>
        <w:t>DICHIARA</w:t>
      </w:r>
    </w:p>
    <w:p w14:paraId="05B5123D" w14:textId="1A2FD638" w:rsidR="00094852" w:rsidRPr="003403B8" w:rsidRDefault="003403B8" w:rsidP="003403B8">
      <w:pPr>
        <w:tabs>
          <w:tab w:val="right" w:pos="9638"/>
        </w:tabs>
        <w:spacing w:before="120"/>
        <w:jc w:val="both"/>
        <w:rPr>
          <w:b/>
          <w:bCs/>
          <w:sz w:val="22"/>
          <w:szCs w:val="22"/>
        </w:rPr>
      </w:pPr>
      <w:r w:rsidRPr="003403B8">
        <w:rPr>
          <w:b/>
          <w:bCs/>
          <w:sz w:val="22"/>
          <w:szCs w:val="22"/>
        </w:rPr>
        <w:t>d</w:t>
      </w:r>
      <w:r w:rsidR="00094852" w:rsidRPr="003403B8">
        <w:rPr>
          <w:b/>
          <w:bCs/>
          <w:sz w:val="22"/>
          <w:szCs w:val="22"/>
        </w:rPr>
        <w:t>i non trovarsi in alcuna delle cause di esclusione previste dall’art. 80 del Codice e, in</w:t>
      </w:r>
      <w:r w:rsidR="00960005" w:rsidRPr="003403B8">
        <w:rPr>
          <w:b/>
          <w:bCs/>
          <w:sz w:val="22"/>
          <w:szCs w:val="22"/>
        </w:rPr>
        <w:t xml:space="preserve"> </w:t>
      </w:r>
      <w:r w:rsidR="00094852" w:rsidRPr="003403B8">
        <w:rPr>
          <w:b/>
          <w:bCs/>
          <w:sz w:val="22"/>
          <w:szCs w:val="22"/>
        </w:rPr>
        <w:t>particolare:</w:t>
      </w:r>
    </w:p>
    <w:p w14:paraId="0E895BB8" w14:textId="77777777" w:rsidR="00094852" w:rsidRPr="00960005" w:rsidRDefault="00094852" w:rsidP="00094852">
      <w:pPr>
        <w:tabs>
          <w:tab w:val="right" w:pos="9638"/>
        </w:tabs>
        <w:spacing w:before="120"/>
        <w:rPr>
          <w:b/>
          <w:bCs/>
          <w:sz w:val="22"/>
          <w:szCs w:val="22"/>
        </w:rPr>
      </w:pPr>
      <w:r w:rsidRPr="00960005">
        <w:rPr>
          <w:b/>
          <w:bCs/>
          <w:sz w:val="22"/>
          <w:szCs w:val="22"/>
        </w:rPr>
        <w:t>Ai sensi dell’art. 80, comma 1:</w:t>
      </w:r>
    </w:p>
    <w:p w14:paraId="0BEFBBC5" w14:textId="76E79C63" w:rsidR="00094852" w:rsidRPr="00094852" w:rsidRDefault="00094852" w:rsidP="00960005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l’inesistenza di condanna con sentenza definitiva o decreto penale di condanna divenuto</w:t>
      </w:r>
      <w:r w:rsidR="003403B8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irrevocabile o sentenza di applicazione della pena su richiesta ai sensi dell’art. 444 del Codice di</w:t>
      </w:r>
      <w:r w:rsidR="003403B8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Procedura Penale, per uno dei seguenti reati:</w:t>
      </w:r>
    </w:p>
    <w:p w14:paraId="627100FE" w14:textId="3B70D765" w:rsidR="00094852" w:rsidRPr="00094852" w:rsidRDefault="00094852" w:rsidP="00960005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a) </w:t>
      </w:r>
      <w:r w:rsidR="00960005">
        <w:rPr>
          <w:sz w:val="22"/>
          <w:szCs w:val="22"/>
        </w:rPr>
        <w:tab/>
      </w:r>
      <w:r w:rsidRPr="00094852">
        <w:rPr>
          <w:sz w:val="22"/>
          <w:szCs w:val="22"/>
        </w:rPr>
        <w:t xml:space="preserve">delitti, consumati o tentati, di cui agli articoli 416, 416‐bis del Codice </w:t>
      </w:r>
      <w:r w:rsidR="00960005">
        <w:rPr>
          <w:sz w:val="22"/>
          <w:szCs w:val="22"/>
        </w:rPr>
        <w:t>p</w:t>
      </w:r>
      <w:r w:rsidRPr="00094852">
        <w:rPr>
          <w:sz w:val="22"/>
          <w:szCs w:val="22"/>
        </w:rPr>
        <w:t>enale, ovvero delitti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 xml:space="preserve">commessi avvalendosi delle condizioni previste dal </w:t>
      </w:r>
      <w:r w:rsidR="00960005" w:rsidRPr="00094852">
        <w:rPr>
          <w:sz w:val="22"/>
          <w:szCs w:val="22"/>
        </w:rPr>
        <w:t>già menzionato</w:t>
      </w:r>
      <w:r w:rsidRPr="00094852">
        <w:rPr>
          <w:sz w:val="22"/>
          <w:szCs w:val="22"/>
        </w:rPr>
        <w:t xml:space="preserve"> articolo 416 bis, ovvero al fine di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 xml:space="preserve">agevolare </w:t>
      </w:r>
      <w:r w:rsidRPr="00094852">
        <w:rPr>
          <w:sz w:val="22"/>
          <w:szCs w:val="22"/>
        </w:rPr>
        <w:lastRenderedPageBreak/>
        <w:t>l'attività delle associazioni previste dallo stesso articolo, nonché per i delitti, consumati o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tentati, previsti dall’articolo 74 del Decreto del Presidente della Repubblica 9 ottobre 1990, n. 309,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dall’articolo 291‐quater del Decreto del Presidente della Repubblica 23 gennaio 1973, n. 43 e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dall’articolo 260 del Decreto Legislativo 3 aprile 2006, n. 152, in quanto riconducibili alla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partecipazione a un’organizzazione criminale, quale definita all’articolo 2 della decisione quadro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2008/841/GAI del Consiglio;</w:t>
      </w:r>
    </w:p>
    <w:p w14:paraId="5D3C4564" w14:textId="20B5C7F5" w:rsidR="00094852" w:rsidRPr="00094852" w:rsidRDefault="00094852" w:rsidP="00960005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b) </w:t>
      </w:r>
      <w:r w:rsidR="00960005">
        <w:rPr>
          <w:sz w:val="22"/>
          <w:szCs w:val="22"/>
        </w:rPr>
        <w:tab/>
      </w:r>
      <w:r w:rsidRPr="00094852">
        <w:rPr>
          <w:sz w:val="22"/>
          <w:szCs w:val="22"/>
        </w:rPr>
        <w:t>delitti, consumati o tentati, di cui agli articoli 317, 318, 319, 319 ter, 319 quater, 320, 321, 322,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 xml:space="preserve">322 bis, 346‐bis, 353, 353 bis, 354, 355 e 356 del Codice </w:t>
      </w:r>
      <w:r w:rsidR="003403B8">
        <w:rPr>
          <w:sz w:val="22"/>
          <w:szCs w:val="22"/>
        </w:rPr>
        <w:t>p</w:t>
      </w:r>
      <w:r w:rsidRPr="00094852">
        <w:rPr>
          <w:sz w:val="22"/>
          <w:szCs w:val="22"/>
        </w:rPr>
        <w:t>enale nonché all’art. 2635 del Codice</w:t>
      </w:r>
      <w:r w:rsidR="00960005">
        <w:rPr>
          <w:sz w:val="22"/>
          <w:szCs w:val="22"/>
        </w:rPr>
        <w:t xml:space="preserve"> </w:t>
      </w:r>
      <w:r w:rsidR="003403B8">
        <w:rPr>
          <w:sz w:val="22"/>
          <w:szCs w:val="22"/>
        </w:rPr>
        <w:t>c</w:t>
      </w:r>
      <w:r w:rsidRPr="00094852">
        <w:rPr>
          <w:sz w:val="22"/>
          <w:szCs w:val="22"/>
        </w:rPr>
        <w:t>ivile;</w:t>
      </w:r>
    </w:p>
    <w:p w14:paraId="6C3EEEF5" w14:textId="32BFC451" w:rsidR="00094852" w:rsidRPr="00094852" w:rsidRDefault="00094852" w:rsidP="00094852">
      <w:pPr>
        <w:tabs>
          <w:tab w:val="right" w:pos="9638"/>
        </w:tabs>
        <w:spacing w:before="120"/>
        <w:rPr>
          <w:sz w:val="22"/>
          <w:szCs w:val="22"/>
        </w:rPr>
      </w:pPr>
      <w:r w:rsidRPr="00094852">
        <w:rPr>
          <w:sz w:val="22"/>
          <w:szCs w:val="22"/>
        </w:rPr>
        <w:t xml:space="preserve">b-bis) false comunicazioni sociali di cui agli artt. 2621 e 2622 del Codice </w:t>
      </w:r>
      <w:r w:rsidR="003403B8">
        <w:rPr>
          <w:sz w:val="22"/>
          <w:szCs w:val="22"/>
        </w:rPr>
        <w:t>c</w:t>
      </w:r>
      <w:r w:rsidRPr="00094852">
        <w:rPr>
          <w:sz w:val="22"/>
          <w:szCs w:val="22"/>
        </w:rPr>
        <w:t>ivile;</w:t>
      </w:r>
    </w:p>
    <w:p w14:paraId="6092D16A" w14:textId="339484CF" w:rsidR="00094852" w:rsidRPr="00094852" w:rsidRDefault="00094852" w:rsidP="003403B8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c) </w:t>
      </w:r>
      <w:r w:rsidR="003403B8">
        <w:rPr>
          <w:sz w:val="22"/>
          <w:szCs w:val="22"/>
        </w:rPr>
        <w:tab/>
      </w:r>
      <w:r w:rsidRPr="00094852">
        <w:rPr>
          <w:sz w:val="22"/>
          <w:szCs w:val="22"/>
        </w:rPr>
        <w:t>frode ai sensi dell’articolo 1 della convenzione relativa alla tutela degli interessi finanziari delle</w:t>
      </w:r>
      <w:r w:rsidR="003403B8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Comunità europee;</w:t>
      </w:r>
    </w:p>
    <w:p w14:paraId="5F75A7F5" w14:textId="11797758" w:rsidR="00094852" w:rsidRPr="00094852" w:rsidRDefault="00094852" w:rsidP="00960005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d) </w:t>
      </w:r>
      <w:r w:rsidR="00960005">
        <w:rPr>
          <w:sz w:val="22"/>
          <w:szCs w:val="22"/>
        </w:rPr>
        <w:tab/>
      </w:r>
      <w:r w:rsidRPr="00094852">
        <w:rPr>
          <w:sz w:val="22"/>
          <w:szCs w:val="22"/>
        </w:rPr>
        <w:t>delitti, consumati o tentati, commessi con finalità di terrorismo, anche internazionale, e di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eversione dell’ordine costituzionale reati terroristici o reati connessi alle attività terroristiche;</w:t>
      </w:r>
    </w:p>
    <w:p w14:paraId="1A6098A4" w14:textId="31B11F7B" w:rsidR="00094852" w:rsidRPr="00094852" w:rsidRDefault="00094852" w:rsidP="00960005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e) </w:t>
      </w:r>
      <w:r w:rsidR="00960005">
        <w:rPr>
          <w:sz w:val="22"/>
          <w:szCs w:val="22"/>
        </w:rPr>
        <w:tab/>
      </w:r>
      <w:r w:rsidRPr="00094852">
        <w:rPr>
          <w:sz w:val="22"/>
          <w:szCs w:val="22"/>
        </w:rPr>
        <w:t xml:space="preserve">delitti di cui agli artt. 648 bis, 648 ter e 648‐ter.1 del Codice </w:t>
      </w:r>
      <w:r w:rsidR="00960005">
        <w:rPr>
          <w:sz w:val="22"/>
          <w:szCs w:val="22"/>
        </w:rPr>
        <w:t>p</w:t>
      </w:r>
      <w:r w:rsidRPr="00094852">
        <w:rPr>
          <w:sz w:val="22"/>
          <w:szCs w:val="22"/>
        </w:rPr>
        <w:t>enale, riciclaggio di proventi di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attività criminose o finanziamento del terrorismo, quali definiti all’articolo 1 del Decreto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Legislativo 22 giugno 2007, n. 109 e successive modificazioni;</w:t>
      </w:r>
    </w:p>
    <w:p w14:paraId="723AFF54" w14:textId="2EA767CB" w:rsidR="00094852" w:rsidRPr="00094852" w:rsidRDefault="00094852" w:rsidP="00960005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f) </w:t>
      </w:r>
      <w:r w:rsidR="00960005">
        <w:rPr>
          <w:sz w:val="22"/>
          <w:szCs w:val="22"/>
        </w:rPr>
        <w:tab/>
      </w:r>
      <w:r w:rsidRPr="00094852">
        <w:rPr>
          <w:sz w:val="22"/>
          <w:szCs w:val="22"/>
        </w:rPr>
        <w:t>sfruttamento del lavoro minorile e altre forme di tratta di esseri umani definite con il Decreto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Legislativo 4 marzo 2014, n. 24;</w:t>
      </w:r>
    </w:p>
    <w:p w14:paraId="3BFD1FAB" w14:textId="1C79FAD1" w:rsidR="00094852" w:rsidRPr="00094852" w:rsidRDefault="00094852" w:rsidP="00960005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g) </w:t>
      </w:r>
      <w:r w:rsidR="00960005">
        <w:rPr>
          <w:sz w:val="22"/>
          <w:szCs w:val="22"/>
        </w:rPr>
        <w:tab/>
      </w:r>
      <w:r w:rsidRPr="00094852">
        <w:rPr>
          <w:sz w:val="22"/>
          <w:szCs w:val="22"/>
        </w:rPr>
        <w:t>ogni altro delitto da cui derivi, quale pena accessoria, l’incapacità di contrattare con la pubblica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amministrazione;</w:t>
      </w:r>
    </w:p>
    <w:p w14:paraId="0BEA4AD3" w14:textId="373CD52F" w:rsidR="00094852" w:rsidRPr="00094852" w:rsidRDefault="00094852" w:rsidP="00960005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Se presenti condanne, il concorrente deve indicare, a pena di esclusione, tutte le sentenze di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condanna definitive, i decreti penali di condanna divenuti irrevocabili, le sentenze di applicazione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della pena su richiesta ai sensi dell’art. 444 del Codice di Procedura Penale emessi nei propri</w:t>
      </w:r>
      <w:r w:rsidR="00960005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confronti e con riguardo ai soggetti indicati al comma 3 dell’art. 80 del Codice.</w:t>
      </w:r>
    </w:p>
    <w:p w14:paraId="3645278B" w14:textId="77777777" w:rsidR="00094852" w:rsidRPr="00CD17C6" w:rsidRDefault="00094852" w:rsidP="00094852">
      <w:pPr>
        <w:tabs>
          <w:tab w:val="right" w:pos="9638"/>
        </w:tabs>
        <w:spacing w:before="120"/>
        <w:rPr>
          <w:b/>
          <w:bCs/>
          <w:sz w:val="22"/>
          <w:szCs w:val="22"/>
        </w:rPr>
      </w:pPr>
      <w:r w:rsidRPr="00CD17C6">
        <w:rPr>
          <w:b/>
          <w:bCs/>
          <w:sz w:val="22"/>
          <w:szCs w:val="22"/>
        </w:rPr>
        <w:t>Ai sensi dell’art. 80, comma 2:</w:t>
      </w:r>
    </w:p>
    <w:p w14:paraId="4F5F662E" w14:textId="5CAA2F2A" w:rsidR="00094852" w:rsidRPr="00094852" w:rsidRDefault="00094852" w:rsidP="00CD17C6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che a proprio carico non sussistono cause di decadenza, di sospensione o di divieto previste dall’art.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67 del Decreto Legislativo 6 settembre 2011, n. 159 o di un tentativo di infiltrazione mafiosa di cui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all’art. 84, comma 4, del medesimo decreto.</w:t>
      </w:r>
    </w:p>
    <w:p w14:paraId="3FEA2808" w14:textId="2591B6E2" w:rsidR="00094852" w:rsidRPr="00094852" w:rsidRDefault="00094852" w:rsidP="00CD17C6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Resta fermo quanto previsto dagli artt. 88, comma 4 bis, e 92, commi 2 e 3, del Decreto Legislativo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6 settembre 2011, n.159, con riferimento rispettivamente alle comunicazioni antimafia e alle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informazioni antimafia. Resta fermo altresì quanto previsto dall’art.34 -bis, commi 6 e 7, del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decreto 6 settembre 2011,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n.159.</w:t>
      </w:r>
    </w:p>
    <w:p w14:paraId="150E9725" w14:textId="77777777" w:rsidR="00094852" w:rsidRPr="00CD17C6" w:rsidRDefault="00094852" w:rsidP="00094852">
      <w:pPr>
        <w:tabs>
          <w:tab w:val="right" w:pos="9638"/>
        </w:tabs>
        <w:spacing w:before="120"/>
        <w:rPr>
          <w:b/>
          <w:bCs/>
          <w:sz w:val="22"/>
          <w:szCs w:val="22"/>
        </w:rPr>
      </w:pPr>
      <w:r w:rsidRPr="00CD17C6">
        <w:rPr>
          <w:b/>
          <w:bCs/>
          <w:sz w:val="22"/>
          <w:szCs w:val="22"/>
        </w:rPr>
        <w:t>Ai sensi dell’art. 80, comma 3:</w:t>
      </w:r>
    </w:p>
    <w:p w14:paraId="21BD8BC4" w14:textId="4E0D5397" w:rsidR="00094852" w:rsidRPr="00094852" w:rsidRDefault="00CD17C6" w:rsidP="00CD17C6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94852" w:rsidRPr="00094852">
        <w:rPr>
          <w:sz w:val="22"/>
          <w:szCs w:val="22"/>
        </w:rPr>
        <w:t>he non sussistano sentenze o decreti ovvero misure interdittive emessi nei confronti: del titolare o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del direttore tecnico, se si tratta di impresa individuale; di un socio o del direttore tecnico, se si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tratta di società in nome collettivo; dei soci accomandatari o del direttore tecnico, se si tratta di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società in accomandita semplice; dei membri del consiglio di amministrazione cui sia stata conferita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la legale rappresentanza, ivi compresi institori e procuratori generali, dei membri degli organi con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poteri di direzione o di vigilanza o dei soggetti muniti di poteri di rappresentanza, di direzione o di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controllo, del direttore tecnico o del socio unico persona fisica, ovvero del socio di maggioranza in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caso di società con numero di soci pari o inferiore a quattro, se si tratta di altro tipo di società o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consorzio. In ogni caso l’esclusione e il divieto operano anche nei confronti dei soggetti cessati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dalla carica nell'anno antecedente la data di pubblicazione del bando di gara, qualora l’impresa non</w:t>
      </w:r>
      <w:r>
        <w:rPr>
          <w:sz w:val="22"/>
          <w:szCs w:val="22"/>
        </w:rPr>
        <w:t xml:space="preserve"> </w:t>
      </w:r>
      <w:r w:rsidR="00094852" w:rsidRPr="00094852">
        <w:rPr>
          <w:sz w:val="22"/>
          <w:szCs w:val="22"/>
        </w:rPr>
        <w:t>dimostri che vi sia stata completa ed effettiva dissociazione della condotta penalmente sanzionata;</w:t>
      </w:r>
    </w:p>
    <w:p w14:paraId="27440C25" w14:textId="05D2C8D0" w:rsidR="00094852" w:rsidRPr="00094852" w:rsidRDefault="00094852" w:rsidP="00CD17C6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l’esclusione non va disposta e il divieto non si applica quando il reato è stato depenalizzato ovvero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quando è intervenuta la riabilitazione ovvero, nei casi di condanna ad una pena accessoria perpetua,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 xml:space="preserve">quando questa è stata dichiarata estinta ai sensi dell’art.179, settimo comma, del </w:t>
      </w:r>
      <w:r w:rsidR="00CD17C6">
        <w:rPr>
          <w:sz w:val="22"/>
          <w:szCs w:val="22"/>
        </w:rPr>
        <w:t>C</w:t>
      </w:r>
      <w:r w:rsidRPr="00094852">
        <w:rPr>
          <w:sz w:val="22"/>
          <w:szCs w:val="22"/>
        </w:rPr>
        <w:t>odice penale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ovvero quando il reato è stato dichiarato estinto dopo la condanna ovvero in caso di revoca della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condanna medesima.</w:t>
      </w:r>
    </w:p>
    <w:p w14:paraId="10E5A2BC" w14:textId="20CE7803" w:rsidR="00094852" w:rsidRPr="00094852" w:rsidRDefault="00094852" w:rsidP="00CD17C6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lastRenderedPageBreak/>
        <w:t>Le dichiarazioni di cui ai commi 1 e 2 dell’art. 80, devono essere rese personalmente da ciascuno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dei soggetti sopra indicati oppure dal rappresentante legale del concorrente con indicazione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nominativa dei soggetti cui i requisiti si riferiscono.</w:t>
      </w:r>
    </w:p>
    <w:p w14:paraId="37343962" w14:textId="1EED95B3" w:rsidR="00094852" w:rsidRPr="00094852" w:rsidRDefault="00094852" w:rsidP="00CD17C6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Per quanto non specificatamente previsto nelle suddette dichiarazioni, valgono tutte le disposizioni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previste dall’art. 80 del Codice.</w:t>
      </w:r>
    </w:p>
    <w:p w14:paraId="698A4003" w14:textId="77777777" w:rsidR="00094852" w:rsidRPr="00CD17C6" w:rsidRDefault="00094852" w:rsidP="00CD17C6">
      <w:pPr>
        <w:tabs>
          <w:tab w:val="right" w:pos="9638"/>
        </w:tabs>
        <w:spacing w:before="120"/>
        <w:jc w:val="both"/>
        <w:rPr>
          <w:b/>
          <w:bCs/>
          <w:sz w:val="22"/>
          <w:szCs w:val="22"/>
        </w:rPr>
      </w:pPr>
      <w:r w:rsidRPr="00CD17C6">
        <w:rPr>
          <w:b/>
          <w:bCs/>
          <w:sz w:val="22"/>
          <w:szCs w:val="22"/>
        </w:rPr>
        <w:t>Ai sensi dell’art. 80, comma 4:</w:t>
      </w:r>
    </w:p>
    <w:p w14:paraId="687F94F7" w14:textId="703519BB" w:rsidR="00094852" w:rsidRPr="00094852" w:rsidRDefault="00094852" w:rsidP="00CD17C6">
      <w:pPr>
        <w:tabs>
          <w:tab w:val="right" w:pos="9638"/>
        </w:tabs>
        <w:spacing w:before="120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di non aver commesso violazioni gravi, definitivamente accertate, rispetto agli obblighi relativi al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pagamento delle imposte e tasse o dei contributi previdenziali, secondo la legislazione italiana o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quella dello Stato in cui sono stabiliti. (Costituiscono gravi violazioni quelle che comportano un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omesso pagamento di imposte e tasse superiore all’importo di cui all’art. 48 bis, commi 1 e 2 bis,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del decreto del Presidente della Repubblica 29 settembre 1973, n. 602. Costituiscono violazioni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definitivamente accertate quelle contenute in sentenze o atti amministrativi non più soggetti ad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impugnazione. Costituiscono gravi violazioni in materia contributiva e previdenziale quelle ostative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al rilascio del documento unico di regolarità contributiva (DURC), di cui all'art. 8 del Decreto del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Ministero del Lavoro e delle Politiche Sociali 30 gennaio 2015, pubblicato sulla Gazzetta Ufficiale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n. 125 del 01.06.2015, ovvero delle certificazioni rilasciate dagli enti previdenziali di riferimento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non aderenti al sistema dello sportello unico previdenziale. Il presente comma non si applica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quando l’operatore economico ha ottemperato ai suoi obblighi pagando o impegnandosi in modo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vincolante a pagare le imposte o i contributi previdenziali dovuti, compresi eventuali interessi o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multe, purché il pagamento o l’impegno siano stati formalizzati prima della scadenza del termine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per la presentazione delle domande)</w:t>
      </w:r>
    </w:p>
    <w:p w14:paraId="0182A35F" w14:textId="77777777" w:rsidR="00094852" w:rsidRPr="00CD17C6" w:rsidRDefault="00094852" w:rsidP="00094852">
      <w:pPr>
        <w:tabs>
          <w:tab w:val="right" w:pos="9638"/>
        </w:tabs>
        <w:spacing w:before="120"/>
        <w:rPr>
          <w:b/>
          <w:bCs/>
          <w:sz w:val="22"/>
          <w:szCs w:val="22"/>
        </w:rPr>
      </w:pPr>
      <w:r w:rsidRPr="00CD17C6">
        <w:rPr>
          <w:b/>
          <w:bCs/>
          <w:sz w:val="22"/>
          <w:szCs w:val="22"/>
        </w:rPr>
        <w:t>Ai sensi dell’art. 80, comma 5:</w:t>
      </w:r>
    </w:p>
    <w:p w14:paraId="33361FE3" w14:textId="41A22B3B" w:rsidR="00094852" w:rsidRPr="00094852" w:rsidRDefault="00094852" w:rsidP="00CD17C6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a) </w:t>
      </w:r>
      <w:r w:rsidR="00CD17C6">
        <w:rPr>
          <w:sz w:val="22"/>
          <w:szCs w:val="22"/>
        </w:rPr>
        <w:tab/>
      </w:r>
      <w:r w:rsidRPr="00094852">
        <w:rPr>
          <w:sz w:val="22"/>
          <w:szCs w:val="22"/>
        </w:rPr>
        <w:t>di non aver commesso gravi infrazioni debitamente accertate in materia di salute e sicurezza sul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lavoro nonché agli obblighi di cui all’art. 30, comma 3 del D. Lgs 5072016 e ss.mm.ii.;</w:t>
      </w:r>
    </w:p>
    <w:p w14:paraId="01EAFA46" w14:textId="42C8C5BD" w:rsidR="00094852" w:rsidRPr="00094852" w:rsidRDefault="00094852" w:rsidP="00CD17C6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b) </w:t>
      </w:r>
      <w:r w:rsidR="00CD17C6">
        <w:rPr>
          <w:sz w:val="22"/>
          <w:szCs w:val="22"/>
        </w:rPr>
        <w:tab/>
      </w:r>
      <w:r w:rsidRPr="00094852">
        <w:rPr>
          <w:sz w:val="22"/>
          <w:szCs w:val="22"/>
        </w:rPr>
        <w:t>di non trovarsi in stato di fallimento, di liquidazione coatta, di concordato preventivo, salvo il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caso di concordato con continuità aziendale, o nei cui riguardi sia in corso un procedimento per la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dichiarazione di una di tali situazioni, fermo restando quanto previsto dall’art. 110 del D. Lgs</w:t>
      </w:r>
      <w:r w:rsidR="00CD17C6">
        <w:rPr>
          <w:sz w:val="22"/>
          <w:szCs w:val="22"/>
        </w:rPr>
        <w:t xml:space="preserve">. n. </w:t>
      </w:r>
      <w:r w:rsidRPr="00094852">
        <w:rPr>
          <w:sz w:val="22"/>
          <w:szCs w:val="22"/>
        </w:rPr>
        <w:t>50</w:t>
      </w:r>
      <w:r w:rsidR="00CD17C6">
        <w:rPr>
          <w:sz w:val="22"/>
          <w:szCs w:val="22"/>
        </w:rPr>
        <w:t>/</w:t>
      </w:r>
      <w:r w:rsidRPr="00094852">
        <w:rPr>
          <w:sz w:val="22"/>
          <w:szCs w:val="22"/>
        </w:rPr>
        <w:t>2016 e ss.mm.ii</w:t>
      </w:r>
      <w:r w:rsidR="00CD17C6">
        <w:rPr>
          <w:sz w:val="22"/>
          <w:szCs w:val="22"/>
        </w:rPr>
        <w:t>.</w:t>
      </w:r>
      <w:r w:rsidRPr="00094852">
        <w:rPr>
          <w:sz w:val="22"/>
          <w:szCs w:val="22"/>
        </w:rPr>
        <w:t xml:space="preserve"> e dall’art. 186-bis del regio decreto 16 marzo 1942, n. 267;</w:t>
      </w:r>
    </w:p>
    <w:p w14:paraId="66F74281" w14:textId="63478E45" w:rsidR="00094852" w:rsidRPr="00094852" w:rsidRDefault="00094852" w:rsidP="00CD17C6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c) </w:t>
      </w:r>
      <w:r w:rsidR="00CD17C6">
        <w:rPr>
          <w:sz w:val="22"/>
          <w:szCs w:val="22"/>
        </w:rPr>
        <w:tab/>
      </w:r>
      <w:r w:rsidRPr="00094852">
        <w:rPr>
          <w:sz w:val="22"/>
          <w:szCs w:val="22"/>
        </w:rPr>
        <w:t>di non essersi reso colpevole di gravi illeciti professionali, tali da rendere dubbia la sua integrità o</w:t>
      </w:r>
      <w:r w:rsidR="00CD17C6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affidabilità;</w:t>
      </w:r>
    </w:p>
    <w:p w14:paraId="10182740" w14:textId="04126DD1" w:rsidR="00094852" w:rsidRPr="00094852" w:rsidRDefault="00094852" w:rsidP="00CD17C6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c-bis) di non aver tentato di influenzare indebitamente il processo decisionale della stazione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appaltante o di ottenere informazioni riservate a fini di proprio vantaggio oppure abbia fornito,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anche per negligenza, informazioni false o fuorvianti suscettibili di influenzare le decisioni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dell'esclusione, la selezione o l'aggiudicazione, ovvero abbia omesso le informazioni dovute ai fini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del corretto svolgimento della procedura di selezione;</w:t>
      </w:r>
    </w:p>
    <w:p w14:paraId="3946E6F9" w14:textId="033B5FEF" w:rsidR="00094852" w:rsidRPr="00094852" w:rsidRDefault="00094852" w:rsidP="00CD17C6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c-ter) di non aver dimostrato significative o persistenti carenze nell'esecuzione di un precedente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contratto di appalto o di concessione che ne hanno causato la risoluzione per inadempimento ovvero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la condanna al risarcimento del danno o altre sanzioni comparabili; su tali circostanze la stazione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appaltante motiva anche con riferimento al tempo trascorso dalla violazione e alla gravità della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stessa;</w:t>
      </w:r>
    </w:p>
    <w:p w14:paraId="59454A6F" w14:textId="7191E9CE" w:rsidR="00094852" w:rsidRPr="00094852" w:rsidRDefault="00094852" w:rsidP="00CD17C6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c-quater) di non aver commesso grave inadempimento nei confronti di uno o più subappaltatori,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riconosciuto con sentenza passata in giudicato;</w:t>
      </w:r>
    </w:p>
    <w:p w14:paraId="4DD2198B" w14:textId="6E95B726" w:rsidR="00094852" w:rsidRPr="00094852" w:rsidRDefault="00094852" w:rsidP="00CD17C6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d) </w:t>
      </w:r>
      <w:r w:rsidR="007839ED">
        <w:rPr>
          <w:sz w:val="22"/>
          <w:szCs w:val="22"/>
        </w:rPr>
        <w:tab/>
      </w:r>
      <w:r w:rsidRPr="00094852">
        <w:rPr>
          <w:sz w:val="22"/>
          <w:szCs w:val="22"/>
        </w:rPr>
        <w:t>di non determinare una situazione di conflitto di interesse ai sensi dell’art. 42, comma 2, non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diversamente risolvibile;</w:t>
      </w:r>
    </w:p>
    <w:p w14:paraId="571B234E" w14:textId="7BD4A87B" w:rsidR="00094852" w:rsidRPr="00094852" w:rsidRDefault="00094852" w:rsidP="00CD17C6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e) 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di non aver creato una distorsione della concorrenza derivante dal precedente coinvolgimento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degli operatori economici nella preparazione della procedura d’appalto di cui all’art. 67;</w:t>
      </w:r>
    </w:p>
    <w:p w14:paraId="79D7AC24" w14:textId="0518BF68" w:rsidR="00094852" w:rsidRPr="00094852" w:rsidRDefault="00094852" w:rsidP="00CD17C6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f) 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di non essere stato soggetto alla sanzione interdittiva di cui all’art. 9, comma 2, lettera c) del D.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Lgs</w:t>
      </w:r>
      <w:r w:rsidR="007839ED">
        <w:rPr>
          <w:sz w:val="22"/>
          <w:szCs w:val="22"/>
        </w:rPr>
        <w:t>.</w:t>
      </w:r>
      <w:r w:rsidRPr="00094852">
        <w:rPr>
          <w:sz w:val="22"/>
          <w:szCs w:val="22"/>
        </w:rPr>
        <w:t xml:space="preserve"> 8 giugno 2001, n. 231 (Responsabilità amministrativa delle società e degli Enti) o ad altra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sanzione che comporta il divieto di contrarre con la pubblica amministrazione, compresi i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provvedimenti interdettivi di cui all’art. 14 del D. Lgs 9 aprile 2008, n. 81 (tutela della salute e della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sicurezza nei luoghi di lavoro);</w:t>
      </w:r>
    </w:p>
    <w:p w14:paraId="62980A2D" w14:textId="6ACA127F" w:rsidR="00094852" w:rsidRPr="00094852" w:rsidRDefault="00094852" w:rsidP="007839ED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lastRenderedPageBreak/>
        <w:t>f-bis) di non presentare nella procedura di gara in corso e negli affidamenti di subappalti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documentazione o dichiarazioni non veritiere;</w:t>
      </w:r>
    </w:p>
    <w:p w14:paraId="5A1BEEE2" w14:textId="379EEDC3" w:rsidR="00094852" w:rsidRPr="00094852" w:rsidRDefault="00094852" w:rsidP="007839ED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f-ter) di non essere iscritto nel casellario informatico tenuto dall’Osservatorio dell’ANAC per aver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presentato false dichiarazioni o falsa documentazione nelle procedure di gara e negli affidamenti di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subappalti;</w:t>
      </w:r>
    </w:p>
    <w:p w14:paraId="3A0E43F1" w14:textId="593F007C" w:rsidR="00094852" w:rsidRPr="00094852" w:rsidRDefault="00094852" w:rsidP="007839ED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g) </w:t>
      </w:r>
      <w:r w:rsidR="007839ED">
        <w:rPr>
          <w:sz w:val="22"/>
          <w:szCs w:val="22"/>
        </w:rPr>
        <w:tab/>
      </w:r>
      <w:r w:rsidRPr="00094852">
        <w:rPr>
          <w:sz w:val="22"/>
          <w:szCs w:val="22"/>
        </w:rPr>
        <w:t>di non essere iscritto nel casellario informatico tenuto dall’Osservatorio dell'ANAC per aver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presentato false dichiarazioni o falsa documentazione ai fini del rilascio dell’attestazione di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qualificazione, per il periodo durante il quale perdura l’iscrizione;</w:t>
      </w:r>
    </w:p>
    <w:p w14:paraId="2CDCDAA7" w14:textId="29CB57B5" w:rsidR="00094852" w:rsidRPr="00094852" w:rsidRDefault="00094852" w:rsidP="007839ED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h) </w:t>
      </w:r>
      <w:r w:rsidR="007839ED">
        <w:rPr>
          <w:sz w:val="22"/>
          <w:szCs w:val="22"/>
        </w:rPr>
        <w:tab/>
      </w:r>
      <w:r w:rsidRPr="00094852">
        <w:rPr>
          <w:sz w:val="22"/>
          <w:szCs w:val="22"/>
        </w:rPr>
        <w:t>di non aver violato il divieto di intestazione fiduciaria di cui all’art. 17 della Legge 19 marzo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1990, n. 55 (prevenzione della delinquenza di tipo mafioso e di altre gravi forme di manifestazione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di pericolosità sociale - L’esclusione ha durata di un anno decorrente dall'accertamento definitivo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della violazione e va comunque disposta se la violazione non è stata rimossa);</w:t>
      </w:r>
    </w:p>
    <w:p w14:paraId="0028FD2F" w14:textId="3B9DA4E2" w:rsidR="00094852" w:rsidRPr="00094852" w:rsidRDefault="00094852" w:rsidP="007839ED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 xml:space="preserve">i) </w:t>
      </w:r>
      <w:r w:rsidR="007839ED">
        <w:rPr>
          <w:sz w:val="22"/>
          <w:szCs w:val="22"/>
        </w:rPr>
        <w:tab/>
      </w:r>
      <w:r w:rsidRPr="00094852">
        <w:rPr>
          <w:sz w:val="22"/>
          <w:szCs w:val="22"/>
        </w:rPr>
        <w:t>di essere in regola con le norme che disciplinano il diritto dei disabili, di cui alla Legge 12 marzo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1999, n. 68;</w:t>
      </w:r>
    </w:p>
    <w:p w14:paraId="51227C25" w14:textId="383EF0C8" w:rsidR="00094852" w:rsidRPr="00094852" w:rsidRDefault="00094852" w:rsidP="007839ED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l) di non essere stato vittima dei reati previsti e puniti dagli artt. 317 (concussione) e 629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 xml:space="preserve">(estorsione) del Codice </w:t>
      </w:r>
      <w:r w:rsidR="003F5939">
        <w:rPr>
          <w:sz w:val="22"/>
          <w:szCs w:val="22"/>
        </w:rPr>
        <w:t>p</w:t>
      </w:r>
      <w:r w:rsidRPr="00094852">
        <w:rPr>
          <w:sz w:val="22"/>
          <w:szCs w:val="22"/>
        </w:rPr>
        <w:t>enale aggravati ai sensi dell’art. 7 del Decreto-Legge 13 maggio 1991, n.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152, convertito, con modificazioni, dalla Legge 12 luglio 1991, n. 203 e non risulti aver denunciato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i fatti all’autorità giudiziaria, salvo che ricorrano i casi previsti dall’art. 4, 1° comma, della Legge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24 novembre 1981, n. 689 (La circostanza di cui al primo periodo deve emergere dagli indizi a base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della richiesta di rinvio a giudizio formulata nei confronti dell'imputato nell’anno antecedente alla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pubblicazione del bando e deve essere comunicata, unitamente alle generalità del soggetto che ha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omesso la predetta denuncia, dal procuratore della Repubblica procedente all'ANAC, la quale cura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la pubblicazione della comunicazione sul sito dell'Osservatorio);</w:t>
      </w:r>
    </w:p>
    <w:p w14:paraId="30C061CE" w14:textId="040A641C" w:rsidR="00094852" w:rsidRPr="00094852" w:rsidRDefault="00094852" w:rsidP="007839ED">
      <w:pPr>
        <w:tabs>
          <w:tab w:val="left" w:pos="284"/>
          <w:tab w:val="right" w:pos="9638"/>
        </w:tabs>
        <w:spacing w:before="120"/>
        <w:ind w:left="284" w:hanging="284"/>
        <w:jc w:val="both"/>
        <w:rPr>
          <w:sz w:val="22"/>
          <w:szCs w:val="22"/>
        </w:rPr>
      </w:pPr>
      <w:r w:rsidRPr="00094852">
        <w:rPr>
          <w:sz w:val="22"/>
          <w:szCs w:val="22"/>
        </w:rPr>
        <w:t>m) di non trovarsi rispetto ad un altro partecipante alla medesima procedura di affidamento, in una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 xml:space="preserve">situazione di controllo di cui all’art. 2359 del Codice </w:t>
      </w:r>
      <w:r w:rsidR="003F5939">
        <w:rPr>
          <w:sz w:val="22"/>
          <w:szCs w:val="22"/>
        </w:rPr>
        <w:t>c</w:t>
      </w:r>
      <w:r w:rsidRPr="00094852">
        <w:rPr>
          <w:sz w:val="22"/>
          <w:szCs w:val="22"/>
        </w:rPr>
        <w:t>ivile o in una qualsiasi relazione, anche di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fatto, se la situazione di controllo o la relazione comporti che le offerte sono imputabili ad un unico</w:t>
      </w:r>
      <w:r w:rsidR="007839ED">
        <w:rPr>
          <w:sz w:val="22"/>
          <w:szCs w:val="22"/>
        </w:rPr>
        <w:t xml:space="preserve"> </w:t>
      </w:r>
      <w:r w:rsidRPr="00094852">
        <w:rPr>
          <w:sz w:val="22"/>
          <w:szCs w:val="22"/>
        </w:rPr>
        <w:t>centro decisionale.</w:t>
      </w:r>
    </w:p>
    <w:p w14:paraId="5F74EB2F" w14:textId="77777777" w:rsidR="00094852" w:rsidRPr="00094852" w:rsidRDefault="00094852" w:rsidP="00094852">
      <w:pPr>
        <w:tabs>
          <w:tab w:val="right" w:pos="9638"/>
        </w:tabs>
        <w:spacing w:before="120"/>
        <w:rPr>
          <w:sz w:val="22"/>
          <w:szCs w:val="22"/>
        </w:rPr>
      </w:pPr>
      <w:r w:rsidRPr="00094852">
        <w:rPr>
          <w:sz w:val="22"/>
          <w:szCs w:val="22"/>
        </w:rPr>
        <w:t>………………………………….. In fede</w:t>
      </w:r>
    </w:p>
    <w:p w14:paraId="236F51A1" w14:textId="0B7F81CB" w:rsidR="00094852" w:rsidRPr="00094852" w:rsidRDefault="00094852" w:rsidP="00094852">
      <w:pPr>
        <w:tabs>
          <w:tab w:val="right" w:pos="9638"/>
        </w:tabs>
        <w:spacing w:before="120"/>
        <w:rPr>
          <w:sz w:val="22"/>
          <w:szCs w:val="22"/>
        </w:rPr>
      </w:pPr>
      <w:r w:rsidRPr="00094852">
        <w:rPr>
          <w:sz w:val="22"/>
          <w:szCs w:val="22"/>
        </w:rPr>
        <w:t xml:space="preserve"> (luogo e data) ………………………………</w:t>
      </w:r>
    </w:p>
    <w:p w14:paraId="3CABFE1A" w14:textId="77777777" w:rsidR="003F5939" w:rsidRDefault="003F5939" w:rsidP="007839ED">
      <w:pPr>
        <w:tabs>
          <w:tab w:val="right" w:pos="9638"/>
        </w:tabs>
        <w:spacing w:before="120"/>
        <w:ind w:left="6663"/>
        <w:rPr>
          <w:sz w:val="22"/>
          <w:szCs w:val="22"/>
        </w:rPr>
      </w:pPr>
    </w:p>
    <w:p w14:paraId="009B4204" w14:textId="61595F5B" w:rsidR="00094852" w:rsidRPr="00094852" w:rsidRDefault="00094852" w:rsidP="003F5939">
      <w:pPr>
        <w:tabs>
          <w:tab w:val="right" w:pos="9638"/>
        </w:tabs>
        <w:spacing w:before="120"/>
        <w:ind w:left="5670"/>
        <w:rPr>
          <w:sz w:val="22"/>
          <w:szCs w:val="22"/>
        </w:rPr>
      </w:pPr>
      <w:r w:rsidRPr="00094852">
        <w:rPr>
          <w:sz w:val="22"/>
          <w:szCs w:val="22"/>
        </w:rPr>
        <w:t>(timbro e firma)</w:t>
      </w:r>
    </w:p>
    <w:p w14:paraId="63860688" w14:textId="77777777" w:rsidR="003F5939" w:rsidRDefault="003F5939" w:rsidP="00094852">
      <w:pPr>
        <w:tabs>
          <w:tab w:val="right" w:pos="9638"/>
        </w:tabs>
        <w:spacing w:before="120"/>
        <w:rPr>
          <w:b/>
          <w:bCs/>
          <w:sz w:val="22"/>
          <w:szCs w:val="22"/>
        </w:rPr>
      </w:pPr>
    </w:p>
    <w:p w14:paraId="76B89A5D" w14:textId="77777777" w:rsidR="003F5939" w:rsidRDefault="003F5939" w:rsidP="00094852">
      <w:pPr>
        <w:tabs>
          <w:tab w:val="right" w:pos="9638"/>
        </w:tabs>
        <w:spacing w:before="120"/>
        <w:rPr>
          <w:b/>
          <w:bCs/>
          <w:sz w:val="22"/>
          <w:szCs w:val="22"/>
        </w:rPr>
      </w:pPr>
    </w:p>
    <w:p w14:paraId="41D3B447" w14:textId="27B570E4" w:rsidR="00094852" w:rsidRPr="003403B8" w:rsidRDefault="00094852" w:rsidP="00094852">
      <w:pPr>
        <w:tabs>
          <w:tab w:val="right" w:pos="9638"/>
        </w:tabs>
        <w:spacing w:before="120"/>
        <w:rPr>
          <w:b/>
          <w:bCs/>
          <w:sz w:val="22"/>
          <w:szCs w:val="22"/>
        </w:rPr>
      </w:pPr>
      <w:r w:rsidRPr="003403B8">
        <w:rPr>
          <w:b/>
          <w:bCs/>
          <w:sz w:val="22"/>
          <w:szCs w:val="22"/>
        </w:rPr>
        <w:t>Allegati: fotocopia del documento di identità del sottoscrittore.</w:t>
      </w:r>
    </w:p>
    <w:p w14:paraId="5A467696" w14:textId="77777777" w:rsidR="003F5939" w:rsidRDefault="003F5939" w:rsidP="003403B8">
      <w:pPr>
        <w:tabs>
          <w:tab w:val="left" w:pos="567"/>
          <w:tab w:val="right" w:pos="9638"/>
        </w:tabs>
        <w:spacing w:before="120"/>
        <w:ind w:left="567" w:hanging="567"/>
        <w:jc w:val="both"/>
        <w:rPr>
          <w:sz w:val="22"/>
          <w:szCs w:val="22"/>
        </w:rPr>
      </w:pPr>
    </w:p>
    <w:p w14:paraId="286FBAAE" w14:textId="77777777" w:rsidR="003F5939" w:rsidRDefault="003F5939" w:rsidP="003403B8">
      <w:pPr>
        <w:tabs>
          <w:tab w:val="left" w:pos="567"/>
          <w:tab w:val="right" w:pos="9638"/>
        </w:tabs>
        <w:spacing w:before="120"/>
        <w:ind w:left="567" w:hanging="567"/>
        <w:jc w:val="both"/>
        <w:rPr>
          <w:sz w:val="22"/>
          <w:szCs w:val="22"/>
        </w:rPr>
      </w:pPr>
    </w:p>
    <w:p w14:paraId="746197A4" w14:textId="5C4043A3" w:rsidR="0097779C" w:rsidRPr="007839ED" w:rsidRDefault="00094852" w:rsidP="003403B8">
      <w:pPr>
        <w:tabs>
          <w:tab w:val="left" w:pos="567"/>
          <w:tab w:val="right" w:pos="9638"/>
        </w:tabs>
        <w:spacing w:before="120"/>
        <w:ind w:left="567" w:hanging="567"/>
        <w:jc w:val="both"/>
        <w:rPr>
          <w:sz w:val="18"/>
          <w:szCs w:val="18"/>
        </w:rPr>
      </w:pPr>
      <w:r w:rsidRPr="007839ED">
        <w:rPr>
          <w:sz w:val="22"/>
          <w:szCs w:val="22"/>
        </w:rPr>
        <w:t>N.</w:t>
      </w:r>
      <w:r w:rsidR="007839ED" w:rsidRPr="007839ED">
        <w:rPr>
          <w:sz w:val="22"/>
          <w:szCs w:val="22"/>
        </w:rPr>
        <w:t>B</w:t>
      </w:r>
      <w:r w:rsidRPr="007839ED">
        <w:rPr>
          <w:sz w:val="22"/>
          <w:szCs w:val="22"/>
        </w:rPr>
        <w:t>.</w:t>
      </w:r>
      <w:r w:rsidR="007839ED">
        <w:rPr>
          <w:sz w:val="22"/>
          <w:szCs w:val="22"/>
        </w:rPr>
        <w:t>:</w:t>
      </w:r>
      <w:r w:rsidRPr="007839ED">
        <w:rPr>
          <w:sz w:val="18"/>
          <w:szCs w:val="18"/>
        </w:rPr>
        <w:t xml:space="preserve"> </w:t>
      </w:r>
      <w:r w:rsidR="003403B8">
        <w:rPr>
          <w:sz w:val="18"/>
          <w:szCs w:val="18"/>
        </w:rPr>
        <w:tab/>
      </w:r>
      <w:r w:rsidRPr="007839ED">
        <w:rPr>
          <w:sz w:val="18"/>
          <w:szCs w:val="18"/>
        </w:rPr>
        <w:t xml:space="preserve">Tale </w:t>
      </w:r>
      <w:r w:rsidR="003403B8">
        <w:rPr>
          <w:sz w:val="18"/>
          <w:szCs w:val="18"/>
        </w:rPr>
        <w:t xml:space="preserve">dichiarazione </w:t>
      </w:r>
      <w:r w:rsidRPr="007839ED">
        <w:rPr>
          <w:sz w:val="18"/>
          <w:szCs w:val="18"/>
        </w:rPr>
        <w:t>va compilata e sottoscritta in originale dal titolare e/o dal legale rappresentante del concorrente;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dal titolare e dal direttore tecnico, se si tratta di impresa individuale; da un socio e dal direttore tecnico, se si tratta di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società in nome collettivo; dai soci accomandatari e dal direttore tecnico, se si tratta di società in accomandita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semplice; dai membri del consiglio di amministrazione cui sia stata conferita la legale rappresentanza, ivi compresi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institori e procuratori generali, dai membri degli organi con poteri di direzione o di vigilanza o dai soggetti muniti di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poteri di rappresentanza, di direzione o di controllo, dal direttore tecnico o dal socio unico persona fisica, ovvero dal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socio di maggioranza in caso di società con un numero di soci pari o inferiore a quattro, se si tratta di altro tipo di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società o consorzio. L’allegato, scaricabile dalla piattaforma, deve essere compilato e ricaricato nell’apposito spazio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previa apposizione della firma digitale. La domanda di partecipazione è unica e per i raggruppamenti temporanei o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consorzi ordinari o GEIE, costituiti o costituendi, comprende la dichiarazione relativa alla costituzione del</w:t>
      </w:r>
      <w:r w:rsidR="007839ED">
        <w:rPr>
          <w:sz w:val="18"/>
          <w:szCs w:val="18"/>
        </w:rPr>
        <w:t xml:space="preserve"> </w:t>
      </w:r>
      <w:r w:rsidRPr="007839ED">
        <w:rPr>
          <w:sz w:val="18"/>
          <w:szCs w:val="18"/>
        </w:rPr>
        <w:t>raggruppamento o consorzio o GEIE.</w:t>
      </w:r>
    </w:p>
    <w:sectPr w:rsidR="0097779C" w:rsidRPr="007839ED" w:rsidSect="003403B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0A50" w14:textId="77777777" w:rsidR="00AC651F" w:rsidRDefault="00AC651F" w:rsidP="00F92E5D">
      <w:r>
        <w:separator/>
      </w:r>
    </w:p>
  </w:endnote>
  <w:endnote w:type="continuationSeparator" w:id="0">
    <w:p w14:paraId="3945F7F5" w14:textId="77777777" w:rsidR="00AC651F" w:rsidRDefault="00AC651F" w:rsidP="00F9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5AEC" w14:textId="77777777" w:rsidR="00AC651F" w:rsidRDefault="00AC651F" w:rsidP="00F92E5D">
      <w:r>
        <w:separator/>
      </w:r>
    </w:p>
  </w:footnote>
  <w:footnote w:type="continuationSeparator" w:id="0">
    <w:p w14:paraId="6539F853" w14:textId="77777777" w:rsidR="00AC651F" w:rsidRDefault="00AC651F" w:rsidP="00F9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748"/>
    <w:multiLevelType w:val="hybridMultilevel"/>
    <w:tmpl w:val="1552552C"/>
    <w:lvl w:ilvl="0" w:tplc="FA0AF64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5FE6ED0"/>
    <w:multiLevelType w:val="hybridMultilevel"/>
    <w:tmpl w:val="BB38C728"/>
    <w:lvl w:ilvl="0" w:tplc="979CA7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9AB65B8"/>
    <w:multiLevelType w:val="hybridMultilevel"/>
    <w:tmpl w:val="A23C6D8A"/>
    <w:lvl w:ilvl="0" w:tplc="BD70E3EC">
      <w:start w:val="3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61E2892"/>
    <w:multiLevelType w:val="hybridMultilevel"/>
    <w:tmpl w:val="06AE9706"/>
    <w:lvl w:ilvl="0" w:tplc="577A5D3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B"/>
    <w:rsid w:val="000131D2"/>
    <w:rsid w:val="000205F7"/>
    <w:rsid w:val="0002097B"/>
    <w:rsid w:val="000568AA"/>
    <w:rsid w:val="00094852"/>
    <w:rsid w:val="000A21F5"/>
    <w:rsid w:val="000A492F"/>
    <w:rsid w:val="000C299F"/>
    <w:rsid w:val="001009E1"/>
    <w:rsid w:val="001066A8"/>
    <w:rsid w:val="00146905"/>
    <w:rsid w:val="001606C7"/>
    <w:rsid w:val="001938AB"/>
    <w:rsid w:val="00195BBF"/>
    <w:rsid w:val="001E5307"/>
    <w:rsid w:val="001F115B"/>
    <w:rsid w:val="001F18C4"/>
    <w:rsid w:val="00230E12"/>
    <w:rsid w:val="002478B3"/>
    <w:rsid w:val="002519FD"/>
    <w:rsid w:val="00253CDE"/>
    <w:rsid w:val="00267909"/>
    <w:rsid w:val="002E1639"/>
    <w:rsid w:val="0032206D"/>
    <w:rsid w:val="00326B2C"/>
    <w:rsid w:val="003403B8"/>
    <w:rsid w:val="003856A4"/>
    <w:rsid w:val="003A3229"/>
    <w:rsid w:val="003C5BDB"/>
    <w:rsid w:val="003D0B60"/>
    <w:rsid w:val="003D4E74"/>
    <w:rsid w:val="003F5939"/>
    <w:rsid w:val="003F6977"/>
    <w:rsid w:val="00416945"/>
    <w:rsid w:val="00452EBA"/>
    <w:rsid w:val="00461D5A"/>
    <w:rsid w:val="00472C96"/>
    <w:rsid w:val="004C4CFB"/>
    <w:rsid w:val="004D2165"/>
    <w:rsid w:val="004D613E"/>
    <w:rsid w:val="004E6D64"/>
    <w:rsid w:val="005234F7"/>
    <w:rsid w:val="0054094B"/>
    <w:rsid w:val="005B3F06"/>
    <w:rsid w:val="005E3F91"/>
    <w:rsid w:val="005F1120"/>
    <w:rsid w:val="006B5BE7"/>
    <w:rsid w:val="006C35B5"/>
    <w:rsid w:val="006D2B30"/>
    <w:rsid w:val="006F5906"/>
    <w:rsid w:val="007007D6"/>
    <w:rsid w:val="00731427"/>
    <w:rsid w:val="007328CF"/>
    <w:rsid w:val="00736885"/>
    <w:rsid w:val="00763479"/>
    <w:rsid w:val="00772903"/>
    <w:rsid w:val="00776F8A"/>
    <w:rsid w:val="007839ED"/>
    <w:rsid w:val="00790C58"/>
    <w:rsid w:val="007A59D6"/>
    <w:rsid w:val="007C578C"/>
    <w:rsid w:val="007D29EF"/>
    <w:rsid w:val="00801993"/>
    <w:rsid w:val="00815B28"/>
    <w:rsid w:val="00817C6A"/>
    <w:rsid w:val="00852B9E"/>
    <w:rsid w:val="008554D0"/>
    <w:rsid w:val="00876F7D"/>
    <w:rsid w:val="00881E19"/>
    <w:rsid w:val="008A62E5"/>
    <w:rsid w:val="009214C3"/>
    <w:rsid w:val="00941B07"/>
    <w:rsid w:val="00960005"/>
    <w:rsid w:val="0096072A"/>
    <w:rsid w:val="00970F4B"/>
    <w:rsid w:val="0097779C"/>
    <w:rsid w:val="0098661C"/>
    <w:rsid w:val="0098787E"/>
    <w:rsid w:val="00996C13"/>
    <w:rsid w:val="00997B85"/>
    <w:rsid w:val="009E5721"/>
    <w:rsid w:val="009E6A28"/>
    <w:rsid w:val="00A13BEE"/>
    <w:rsid w:val="00A54B77"/>
    <w:rsid w:val="00A95D13"/>
    <w:rsid w:val="00AC651F"/>
    <w:rsid w:val="00AE061D"/>
    <w:rsid w:val="00AE20F2"/>
    <w:rsid w:val="00B17FCE"/>
    <w:rsid w:val="00B46E02"/>
    <w:rsid w:val="00B612EC"/>
    <w:rsid w:val="00B6402B"/>
    <w:rsid w:val="00BA491C"/>
    <w:rsid w:val="00C01D01"/>
    <w:rsid w:val="00C30F5B"/>
    <w:rsid w:val="00C33432"/>
    <w:rsid w:val="00C54399"/>
    <w:rsid w:val="00C77718"/>
    <w:rsid w:val="00C90FE0"/>
    <w:rsid w:val="00CC7345"/>
    <w:rsid w:val="00CD17C6"/>
    <w:rsid w:val="00CD50DC"/>
    <w:rsid w:val="00CE1A42"/>
    <w:rsid w:val="00CE7C5C"/>
    <w:rsid w:val="00D65726"/>
    <w:rsid w:val="00D7028E"/>
    <w:rsid w:val="00DF0EDA"/>
    <w:rsid w:val="00E345C8"/>
    <w:rsid w:val="00E36B5E"/>
    <w:rsid w:val="00E46B3D"/>
    <w:rsid w:val="00E57051"/>
    <w:rsid w:val="00E61907"/>
    <w:rsid w:val="00E73BB5"/>
    <w:rsid w:val="00E9754F"/>
    <w:rsid w:val="00EA2CCF"/>
    <w:rsid w:val="00EE4749"/>
    <w:rsid w:val="00F230D5"/>
    <w:rsid w:val="00F40C5D"/>
    <w:rsid w:val="00F85437"/>
    <w:rsid w:val="00F92E5D"/>
    <w:rsid w:val="00FA5E7A"/>
    <w:rsid w:val="00FD2880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F251E"/>
  <w15:chartTrackingRefBased/>
  <w15:docId w15:val="{9A4F592C-9927-4BBC-9E9D-9D6248B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36885"/>
    <w:pPr>
      <w:autoSpaceDE w:val="0"/>
      <w:autoSpaceDN w:val="0"/>
      <w:adjustRightInd w:val="0"/>
    </w:pPr>
    <w:rPr>
      <w:rFonts w:ascii="Futura" w:eastAsia="Calibri" w:hAnsi="Futura" w:cs="Futur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92E5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92E5D"/>
    <w:rPr>
      <w:sz w:val="24"/>
      <w:szCs w:val="24"/>
    </w:rPr>
  </w:style>
  <w:style w:type="character" w:styleId="Collegamentoipertestuale">
    <w:name w:val="Hyperlink"/>
    <w:uiPriority w:val="99"/>
    <w:unhideWhenUsed/>
    <w:rsid w:val="00F92E5D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33432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996C1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2C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acgestioniidriche@aruba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0AC8-0C5F-4D33-87CE-AF51D36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mailto:consacgestioniidriche@arubapec.it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Tracanna</dc:creator>
  <cp:keywords/>
  <cp:lastModifiedBy>Nicola Luongo</cp:lastModifiedBy>
  <cp:revision>2</cp:revision>
  <cp:lastPrinted>2021-06-28T11:37:00Z</cp:lastPrinted>
  <dcterms:created xsi:type="dcterms:W3CDTF">2022-03-15T12:58:00Z</dcterms:created>
  <dcterms:modified xsi:type="dcterms:W3CDTF">2022-03-15T12:58:00Z</dcterms:modified>
</cp:coreProperties>
</file>